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55"/>
        <w:jc w:val="right"/>
        <w:rPr>
          <w:bCs/>
          <w:sz w:val="26"/>
          <w:szCs w:val="26"/>
          <w:highlight w:val="none"/>
        </w:rPr>
      </w:pPr>
      <w:r>
        <w:rPr>
          <w:bCs/>
          <w:sz w:val="26"/>
          <w:szCs w:val="26"/>
        </w:rPr>
        <w:t xml:space="preserve">Приложение № 1</w:t>
      </w:r>
      <w:r>
        <w:rPr>
          <w:bCs/>
          <w:sz w:val="26"/>
          <w:szCs w:val="26"/>
          <w:highlight w:val="none"/>
        </w:rPr>
      </w:r>
    </w:p>
    <w:p>
      <w:pPr>
        <w:pStyle w:val="657"/>
        <w:jc w:val="right"/>
        <w:rPr>
          <w:b w:val="0"/>
          <w:bCs w:val="0"/>
          <w:iCs/>
          <w:sz w:val="26"/>
          <w:szCs w:val="26"/>
          <w:highlight w:val="none"/>
        </w:rPr>
      </w:pPr>
      <w:r>
        <w:rPr>
          <w:b w:val="0"/>
          <w:bCs w:val="0"/>
          <w:iCs/>
          <w:sz w:val="26"/>
          <w:szCs w:val="26"/>
        </w:rPr>
        <w:t xml:space="preserve">к Договору теплоснабжения в горячей воде</w:t>
      </w:r>
      <w:r>
        <w:rPr>
          <w:b w:val="0"/>
          <w:bCs w:val="0"/>
          <w:iCs/>
          <w:sz w:val="26"/>
          <w:szCs w:val="26"/>
          <w:highlight w:val="none"/>
        </w:rPr>
      </w:r>
    </w:p>
    <w:p>
      <w:pPr>
        <w:pStyle w:val="657"/>
        <w:jc w:val="right"/>
        <w:rPr>
          <w:b w:val="0"/>
          <w:bCs w:val="0"/>
          <w:iCs/>
          <w:sz w:val="26"/>
          <w:szCs w:val="26"/>
          <w:highlight w:val="none"/>
        </w:rPr>
      </w:pPr>
      <w:r>
        <w:rPr>
          <w:b w:val="0"/>
          <w:bCs w:val="0"/>
          <w:iCs/>
          <w:sz w:val="26"/>
          <w:szCs w:val="26"/>
        </w:rPr>
        <w:t xml:space="preserve">№ </w:t>
      </w:r>
      <w:r>
        <w:rPr>
          <w:b w:val="0"/>
          <w:bCs w:val="0"/>
          <w:iCs/>
          <w:sz w:val="26"/>
          <w:szCs w:val="26"/>
        </w:rPr>
        <w:t xml:space="preserve">_________ от _________________  г.</w:t>
      </w:r>
      <w:r>
        <w:rPr>
          <w:b w:val="0"/>
          <w:bCs w:val="0"/>
          <w:iCs/>
          <w:sz w:val="26"/>
          <w:szCs w:val="26"/>
          <w:highlight w:val="none"/>
        </w:rPr>
      </w:r>
    </w:p>
    <w:p>
      <w:pPr>
        <w:pStyle w:val="657"/>
        <w:rPr>
          <w:b w:val="0"/>
          <w:color w:val="000000"/>
          <w:sz w:val="26"/>
          <w:szCs w:val="26"/>
          <w:highlight w:val="none"/>
        </w:rPr>
      </w:pPr>
      <w:r>
        <w:rPr>
          <w:color w:val="000000"/>
          <w:sz w:val="26"/>
          <w:szCs w:val="26"/>
        </w:rPr>
        <w:t xml:space="preserve">Договорные (ориентировочные) величины отпуска тепловой энергии и теплоносителя</w:t>
      </w:r>
      <w:r>
        <w:rPr>
          <w:b w:val="0"/>
          <w:color w:val="000000"/>
          <w:sz w:val="26"/>
          <w:szCs w:val="26"/>
        </w:rPr>
        <w:t xml:space="preserve"> </w:t>
      </w:r>
      <w:r>
        <w:rPr>
          <w:b w:val="0"/>
          <w:color w:val="000000"/>
          <w:sz w:val="26"/>
          <w:szCs w:val="26"/>
          <w:highlight w:val="none"/>
        </w:rPr>
      </w:r>
    </w:p>
    <w:p>
      <w:pPr>
        <w:pStyle w:val="617"/>
        <w:shd w:val="clear" w:color="auto" w:fill="ffffff"/>
        <w:tabs>
          <w:tab w:val="clear" w:pos="708" w:leader="none"/>
          <w:tab w:val="left" w:pos="13608" w:leader="none"/>
        </w:tabs>
        <w:rPr>
          <w:spacing w:val="-11"/>
          <w:sz w:val="26"/>
          <w:szCs w:val="26"/>
          <w:highlight w:val="none"/>
        </w:rPr>
      </w:pPr>
      <w:r>
        <w:rPr>
          <w:spacing w:val="-11"/>
          <w:sz w:val="26"/>
          <w:szCs w:val="26"/>
        </w:rPr>
        <w:t xml:space="preserve">Потребитель: ___________________________Объект: _______________________Назначение объекта: _______________________</w:t>
      </w:r>
      <w:r>
        <w:rPr>
          <w:spacing w:val="-11"/>
          <w:sz w:val="26"/>
          <w:szCs w:val="26"/>
          <w:highlight w:val="none"/>
        </w:rPr>
      </w:r>
    </w:p>
    <w:p>
      <w:pPr>
        <w:pStyle w:val="617"/>
        <w:rPr>
          <w:sz w:val="22"/>
          <w:szCs w:val="22"/>
          <w:highlight w:val="none"/>
        </w:rPr>
      </w:pPr>
      <w:r>
        <w:rPr>
          <w:sz w:val="22"/>
          <w:szCs w:val="22"/>
          <w:lang w:val="en-US"/>
        </w:rPr>
        <w:t xml:space="preserve">Q</w:t>
      </w:r>
      <w:r>
        <w:rPr>
          <w:sz w:val="22"/>
          <w:szCs w:val="22"/>
        </w:rPr>
        <w:t xml:space="preserve">макс</w:t>
        <w:tab/>
        <w:t xml:space="preserve">  =</w:t>
        <w:tab/>
        <w:t xml:space="preserve">...     Гкал/ч,  в том числе:                                                                   </w:t>
      </w:r>
      <w:r>
        <w:rPr>
          <w:i/>
          <w:sz w:val="22"/>
          <w:szCs w:val="22"/>
        </w:rPr>
        <w:t xml:space="preserve">G макс. = ........   м. куб/ч</w:t>
      </w:r>
      <w:r>
        <w:rPr>
          <w:i/>
          <w:sz w:val="22"/>
          <w:szCs w:val="22"/>
        </w:rPr>
        <w:t xml:space="preserve">, в том числе:</w:t>
      </w:r>
      <w:r>
        <w:rPr>
          <w:i/>
          <w:sz w:val="22"/>
          <w:szCs w:val="22"/>
        </w:rPr>
        <w:t xml:space="preserve">   </w:t>
      </w:r>
      <w:r>
        <w:rPr>
          <w:sz w:val="22"/>
          <w:szCs w:val="22"/>
          <w:highlight w:val="none"/>
        </w:rPr>
      </w:r>
    </w:p>
    <w:p>
      <w:pPr>
        <w:pStyle w:val="617"/>
        <w:rPr>
          <w:bCs/>
          <w:i/>
          <w:sz w:val="22"/>
          <w:szCs w:val="22"/>
          <w:highlight w:val="none"/>
        </w:rPr>
      </w:pPr>
      <w:r>
        <w:rPr>
          <w:i/>
          <w:iCs/>
          <w:sz w:val="22"/>
          <w:szCs w:val="22"/>
          <w:lang w:val="en-US"/>
        </w:rPr>
        <w:t xml:space="preserve">Q</w:t>
      </w:r>
      <w:r>
        <w:rPr>
          <w:i/>
          <w:iCs/>
          <w:sz w:val="22"/>
          <w:szCs w:val="22"/>
        </w:rPr>
        <w:t xml:space="preserve">отопл.  =</w:t>
        <w:tab/>
        <w:t xml:space="preserve">...     Гкал/ч,                                                                                      </w:t>
      </w:r>
      <w:r>
        <w:rPr>
          <w:i/>
          <w:sz w:val="22"/>
          <w:szCs w:val="22"/>
        </w:rPr>
        <w:t xml:space="preserve">    G отопл. = ........      м. куб/ч   </w:t>
      </w:r>
      <w:r>
        <w:rPr>
          <w:bCs/>
          <w:i/>
          <w:sz w:val="22"/>
          <w:szCs w:val="22"/>
          <w:highlight w:val="none"/>
        </w:rPr>
      </w:r>
    </w:p>
    <w:p>
      <w:pPr>
        <w:pStyle w:val="617"/>
        <w:rPr>
          <w:bCs/>
          <w:i/>
          <w:sz w:val="22"/>
          <w:szCs w:val="22"/>
          <w:highlight w:val="none"/>
        </w:rPr>
      </w:pPr>
      <w:r>
        <w:rPr>
          <w:i/>
          <w:iCs/>
          <w:sz w:val="22"/>
          <w:szCs w:val="22"/>
          <w:lang w:val="en-US"/>
        </w:rPr>
        <w:t xml:space="preserve">Q</w:t>
      </w:r>
      <w:r>
        <w:rPr>
          <w:i/>
          <w:iCs/>
          <w:sz w:val="22"/>
          <w:szCs w:val="22"/>
        </w:rPr>
        <w:t xml:space="preserve">гвс    =                   Гкал/ч,</w:t>
      </w:r>
      <w:r>
        <w:rPr>
          <w:i/>
          <w:sz w:val="22"/>
          <w:szCs w:val="22"/>
        </w:rPr>
        <w:t xml:space="preserve">                                                                                          G гвс. = ........     м. куб/ч   </w:t>
      </w:r>
      <w:r>
        <w:rPr>
          <w:bCs/>
          <w:i/>
          <w:sz w:val="22"/>
          <w:szCs w:val="22"/>
          <w:highlight w:val="none"/>
        </w:rPr>
      </w:r>
    </w:p>
    <w:p>
      <w:pPr>
        <w:pStyle w:val="617"/>
        <w:rPr>
          <w:sz w:val="22"/>
          <w:szCs w:val="22"/>
          <w:highlight w:val="none"/>
        </w:rPr>
      </w:pPr>
      <w:r>
        <w:rPr>
          <w:i/>
          <w:iCs/>
          <w:sz w:val="22"/>
          <w:szCs w:val="22"/>
          <w:lang w:val="en-US"/>
        </w:rPr>
        <w:t xml:space="preserve">Q</w:t>
      </w:r>
      <w:r>
        <w:rPr>
          <w:i/>
          <w:iCs/>
          <w:sz w:val="22"/>
          <w:szCs w:val="22"/>
        </w:rPr>
        <w:t xml:space="preserve">вентил </w:t>
      </w:r>
      <w:r>
        <w:rPr>
          <w:sz w:val="22"/>
          <w:szCs w:val="22"/>
        </w:rPr>
        <w:t xml:space="preserve">  =</w:t>
        <w:tab/>
        <w:t xml:space="preserve">...    </w:t>
      </w:r>
      <w:r>
        <w:rPr>
          <w:i/>
          <w:iCs/>
          <w:sz w:val="22"/>
          <w:szCs w:val="22"/>
        </w:rPr>
        <w:t xml:space="preserve"> Гкал/ч, </w:t>
      </w:r>
      <w:r>
        <w:rPr>
          <w:sz w:val="22"/>
          <w:szCs w:val="22"/>
        </w:rPr>
        <w:t xml:space="preserve">                                                                                         </w:t>
      </w:r>
      <w:r>
        <w:rPr>
          <w:i/>
          <w:sz w:val="22"/>
          <w:szCs w:val="22"/>
        </w:rPr>
        <w:t xml:space="preserve">Gвентил. = .......м. куб/ч   </w:t>
      </w:r>
      <w:r>
        <w:rPr>
          <w:sz w:val="22"/>
          <w:szCs w:val="22"/>
          <w:highlight w:val="none"/>
        </w:rPr>
      </w:r>
    </w:p>
    <w:p>
      <w:pPr>
        <w:pStyle w:val="617"/>
        <w:rPr>
          <w:bCs/>
          <w:i/>
          <w:sz w:val="22"/>
          <w:szCs w:val="22"/>
          <w:highlight w:val="none"/>
        </w:rPr>
      </w:pPr>
      <w:r>
        <w:rPr>
          <w:i/>
          <w:sz w:val="22"/>
          <w:szCs w:val="22"/>
          <w:lang w:val="en-US"/>
        </w:rPr>
        <w:t xml:space="preserve">Q</w:t>
      </w:r>
      <w:r>
        <w:rPr>
          <w:i/>
          <w:sz w:val="22"/>
          <w:szCs w:val="22"/>
        </w:rPr>
        <w:t xml:space="preserve">конд. =</w:t>
        <w:tab/>
        <w:t xml:space="preserve">...     Гкал/ч,                                                                                          Gконд. = ........м. куб/ч                       </w:t>
      </w:r>
      <w:r>
        <w:rPr>
          <w:i/>
          <w:sz w:val="22"/>
          <w:szCs w:val="22"/>
        </w:rPr>
        <w:t xml:space="preserve">                                                                                                            Qтехнол. =             Гкал/ч,                                                                                           Gтехнол. = ........м. куб/ч</w:t>
      </w:r>
      <w:r>
        <w:rPr>
          <w:bCs/>
          <w:i/>
          <w:sz w:val="22"/>
          <w:szCs w:val="22"/>
          <w:highlight w:val="none"/>
        </w:rPr>
      </w:r>
    </w:p>
    <w:tbl>
      <w:tblPr>
        <w:tblpPr w:horzAnchor="text" w:tblpX="215" w:vertAnchor="text" w:tblpY="474" w:leftFromText="180" w:topFromText="0" w:rightFromText="180" w:bottomFromText="0"/>
        <w:tblW w:w="13890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184"/>
        <w:gridCol w:w="885"/>
        <w:gridCol w:w="582"/>
        <w:gridCol w:w="814"/>
        <w:gridCol w:w="840"/>
        <w:gridCol w:w="960"/>
        <w:gridCol w:w="916"/>
        <w:gridCol w:w="959"/>
        <w:gridCol w:w="1335"/>
        <w:gridCol w:w="1170"/>
        <w:gridCol w:w="1246"/>
        <w:gridCol w:w="1600"/>
        <w:gridCol w:w="1398"/>
      </w:tblGrid>
      <w:tr>
        <w:trPr>
          <w:trHeight w:val="285"/>
        </w:trPr>
        <w:tblPrEx/>
        <w:tc>
          <w:tcPr>
            <w:tcW w:w="1184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  <w:vAlign w:val="center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  <w:t xml:space="preserve">Месяц</w:t>
            </w:r>
            <w:r>
              <w:rPr>
                <w:bCs/>
                <w:highlight w:val="none"/>
              </w:rPr>
            </w:r>
          </w:p>
        </w:tc>
        <w:tc>
          <w:tcPr>
            <w:tcW w:w="5956" w:type="dxa"/>
            <w:gridSpan w:val="7"/>
            <w:tcBorders>
              <w:top w:val="single" w:color="000000" w:sz="12" w:space="0"/>
              <w:bottom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  <w:t xml:space="preserve">Теплопотребление, Гкал</w:t>
            </w:r>
            <w:r>
              <w:rPr>
                <w:bCs/>
                <w:highlight w:val="none"/>
              </w:rPr>
            </w:r>
          </w:p>
        </w:tc>
        <w:tc>
          <w:tcPr>
            <w:tcW w:w="1335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  <w:vAlign w:val="center"/>
          </w:tcPr>
          <w:p>
            <w:pPr>
              <w:pStyle w:val="617"/>
              <w:ind w:left="-127" w:right="-107"/>
              <w:jc w:val="center"/>
              <w:rPr>
                <w:bCs/>
                <w:highlight w:val="none"/>
              </w:rPr>
            </w:pPr>
            <w:r>
              <w:rPr>
                <w:bCs/>
              </w:rPr>
              <w:t xml:space="preserve">Стоимость тепловой энергии,</w:t>
            </w:r>
            <w:r>
              <w:rPr>
                <w:bCs/>
                <w:highlight w:val="none"/>
              </w:rPr>
            </w:r>
          </w:p>
          <w:p>
            <w:pPr>
              <w:pStyle w:val="617"/>
              <w:ind w:left="-127" w:right="-107"/>
              <w:jc w:val="center"/>
              <w:rPr>
                <w:bCs/>
                <w:highlight w:val="none"/>
              </w:rPr>
            </w:pP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руб. (без НДС)</w:t>
            </w:r>
            <w:r>
              <w:rPr>
                <w:bCs/>
                <w:highlight w:val="none"/>
              </w:rPr>
            </w:r>
          </w:p>
        </w:tc>
        <w:tc>
          <w:tcPr>
            <w:tcW w:w="1170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  <w:vAlign w:val="center"/>
          </w:tcPr>
          <w:p>
            <w:pPr>
              <w:pStyle w:val="617"/>
              <w:jc w:val="center"/>
              <w:rPr>
                <w:highlight w:val="none"/>
                <w:vertAlign w:val="superscript"/>
              </w:rPr>
            </w:pPr>
            <w:r>
              <w:rPr>
                <w:bCs/>
                <w:i/>
                <w:iCs/>
              </w:rPr>
              <w:t xml:space="preserve">Теплоноситель</w:t>
            </w:r>
            <w:r>
              <w:rPr>
                <w:bCs/>
              </w:rPr>
              <w:t xml:space="preserve">, м</w:t>
            </w:r>
            <w:r>
              <w:rPr>
                <w:bCs/>
                <w:vertAlign w:val="superscript"/>
              </w:rPr>
              <w:t xml:space="preserve">3</w:t>
            </w:r>
            <w:r>
              <w:rPr>
                <w:highlight w:val="none"/>
                <w:vertAlign w:val="superscript"/>
              </w:rPr>
            </w:r>
          </w:p>
        </w:tc>
        <w:tc>
          <w:tcPr>
            <w:tcW w:w="1246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  <w:vAlign w:val="center"/>
          </w:tcPr>
          <w:p>
            <w:pPr>
              <w:pStyle w:val="617"/>
              <w:jc w:val="center"/>
              <w:rPr>
                <w:vertAlign w:val="superscript"/>
              </w:rPr>
            </w:pPr>
            <w:r>
              <w:rPr>
                <w:i/>
                <w:iCs/>
              </w:rPr>
              <w:t xml:space="preserve">Теплоноситель на компенсацию потерь, </w:t>
            </w:r>
            <w:r>
              <w:rPr>
                <w:bCs/>
                <w:i/>
                <w:iCs/>
              </w:rPr>
              <w:t xml:space="preserve">м</w:t>
            </w:r>
            <w:r>
              <w:rPr>
                <w:bCs/>
                <w:i/>
                <w:iCs/>
                <w:vertAlign w:val="superscript"/>
              </w:rPr>
              <w:t xml:space="preserve">3</w:t>
            </w:r>
            <w:r>
              <w:rPr>
                <w:vertAlign w:val="superscript"/>
              </w:rPr>
            </w:r>
          </w:p>
        </w:tc>
        <w:tc>
          <w:tcPr>
            <w:tcW w:w="1600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  <w:vAlign w:val="center"/>
          </w:tcPr>
          <w:p>
            <w:pPr>
              <w:pStyle w:val="617"/>
              <w:jc w:val="center"/>
              <w:rPr>
                <w:bCs/>
                <w:i/>
                <w:iCs/>
                <w:highlight w:val="none"/>
              </w:rPr>
            </w:pPr>
            <w:r>
              <w:rPr>
                <w:bCs/>
                <w:i/>
                <w:iCs/>
              </w:rPr>
              <w:t xml:space="preserve">Стоимость теплоносителя (в т.ч. на компенсацию потерь),</w:t>
            </w:r>
            <w:r>
              <w:rPr>
                <w:bCs/>
                <w:i/>
                <w:iCs/>
                <w:highlight w:val="none"/>
              </w:rPr>
            </w:r>
          </w:p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  <w:i/>
                <w:iCs/>
              </w:rPr>
              <w:t xml:space="preserve">руб. (без НДС</w:t>
            </w:r>
            <w:r>
              <w:rPr>
                <w:bCs/>
              </w:rPr>
              <w:t xml:space="preserve">)</w:t>
            </w:r>
            <w:r>
              <w:rPr>
                <w:bCs/>
                <w:highlight w:val="none"/>
              </w:rPr>
            </w:r>
          </w:p>
        </w:tc>
        <w:tc>
          <w:tcPr>
            <w:tcW w:w="1398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  <w:vAlign w:val="center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  <w:t xml:space="preserve">Стоимость ИТОГО,</w:t>
            </w:r>
            <w:r>
              <w:rPr>
                <w:bCs/>
                <w:highlight w:val="none"/>
              </w:rPr>
            </w:r>
          </w:p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  <w:t xml:space="preserve">руб. с НДС</w:t>
            </w:r>
            <w:r>
              <w:rPr>
                <w:bCs/>
                <w:highlight w:val="none"/>
              </w:rPr>
            </w:r>
          </w:p>
        </w:tc>
      </w:tr>
      <w:tr>
        <w:trPr>
          <w:trHeight w:val="285"/>
        </w:trPr>
        <w:tblPrEx/>
        <w:tc>
          <w:tcPr>
            <w:tcW w:w="1184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  <w:vAlign w:val="center"/>
          </w:tcPr>
          <w:p>
            <w:pPr>
              <w:pStyle w:val="617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885" w:type="dxa"/>
            <w:tcBorders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  <w:vAlign w:val="center"/>
          </w:tcPr>
          <w:p>
            <w:pPr>
              <w:pStyle w:val="617"/>
              <w:rPr>
                <w:bCs/>
                <w:i/>
                <w:iCs/>
                <w:highlight w:val="none"/>
              </w:rPr>
            </w:pPr>
            <w:r>
              <w:rPr>
                <w:bCs/>
                <w:i/>
                <w:iCs/>
              </w:rPr>
              <w:t xml:space="preserve">Отопл.</w:t>
            </w:r>
            <w:r>
              <w:rPr>
                <w:bCs/>
                <w:i/>
                <w:iCs/>
                <w:highlight w:val="none"/>
              </w:rPr>
            </w:r>
          </w:p>
        </w:tc>
        <w:tc>
          <w:tcPr>
            <w:tcW w:w="582" w:type="dxa"/>
            <w:tcBorders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  <w:vAlign w:val="center"/>
          </w:tcPr>
          <w:p>
            <w:pPr>
              <w:pStyle w:val="617"/>
              <w:rPr>
                <w:bCs/>
                <w:i/>
                <w:iCs/>
                <w:highlight w:val="none"/>
              </w:rPr>
            </w:pPr>
            <w:r>
              <w:rPr>
                <w:bCs/>
                <w:i/>
                <w:iCs/>
              </w:rPr>
              <w:t xml:space="preserve">ГВС</w:t>
            </w:r>
            <w:r>
              <w:rPr>
                <w:bCs/>
                <w:i/>
                <w:iCs/>
                <w:highlight w:val="none"/>
              </w:rPr>
            </w:r>
          </w:p>
        </w:tc>
        <w:tc>
          <w:tcPr>
            <w:tcW w:w="814" w:type="dxa"/>
            <w:tcBorders>
              <w:bottom w:val="single" w:color="000000" w:sz="12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617"/>
              <w:rPr>
                <w:bCs/>
                <w:i/>
                <w:iCs/>
                <w:highlight w:val="none"/>
              </w:rPr>
            </w:pPr>
            <w:r>
              <w:rPr>
                <w:bCs/>
                <w:i/>
                <w:iCs/>
              </w:rPr>
              <w:t xml:space="preserve">Вент.</w:t>
            </w:r>
            <w:r>
              <w:rPr>
                <w:bCs/>
                <w:i/>
                <w:iCs/>
                <w:highlight w:val="none"/>
              </w:rPr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617"/>
              <w:rPr>
                <w:bCs/>
                <w:i/>
                <w:iCs/>
                <w:highlight w:val="none"/>
              </w:rPr>
            </w:pPr>
            <w:r>
              <w:rPr>
                <w:bCs/>
                <w:i/>
                <w:iCs/>
              </w:rPr>
              <w:t xml:space="preserve">Кондиц.</w:t>
            </w:r>
            <w:r>
              <w:rPr>
                <w:bCs/>
                <w:i/>
                <w:iCs/>
                <w:highlight w:val="none"/>
              </w:rPr>
            </w:r>
          </w:p>
        </w:tc>
        <w:tc>
          <w:tcPr>
            <w:tcW w:w="960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bCs/>
                <w:i/>
                <w:iCs/>
                <w:highlight w:val="none"/>
              </w:rPr>
            </w:pPr>
            <w:r>
              <w:rPr>
                <w:bCs/>
                <w:i/>
                <w:iCs/>
              </w:rPr>
              <w:t xml:space="preserve">Осущ.</w:t>
            </w:r>
            <w:r>
              <w:rPr>
                <w:bCs/>
                <w:i/>
                <w:iCs/>
                <w:highlight w:val="none"/>
              </w:rPr>
            </w:r>
          </w:p>
          <w:p>
            <w:pPr>
              <w:pStyle w:val="617"/>
              <w:jc w:val="center"/>
              <w:rPr>
                <w:bCs/>
                <w:i/>
                <w:iCs/>
                <w:highlight w:val="none"/>
              </w:rPr>
            </w:pPr>
            <w:r>
              <w:rPr>
                <w:bCs/>
                <w:i/>
                <w:iCs/>
              </w:rPr>
              <w:t xml:space="preserve">Технол. проц.</w:t>
            </w:r>
            <w:r>
              <w:rPr>
                <w:bCs/>
                <w:i/>
                <w:iCs/>
                <w:highlight w:val="none"/>
              </w:rPr>
            </w:r>
          </w:p>
        </w:tc>
        <w:tc>
          <w:tcPr>
            <w:tcW w:w="916" w:type="dxa"/>
            <w:tcBorders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  <w:vAlign w:val="center"/>
          </w:tcPr>
          <w:p>
            <w:pPr>
              <w:pStyle w:val="617"/>
              <w:jc w:val="center"/>
              <w:rPr>
                <w:bCs/>
                <w:i/>
                <w:iCs/>
                <w:highlight w:val="none"/>
              </w:rPr>
            </w:pPr>
            <w:r>
              <w:rPr>
                <w:bCs/>
                <w:i/>
                <w:iCs/>
              </w:rPr>
              <w:t xml:space="preserve">Потери в сетях</w:t>
            </w:r>
            <w:r>
              <w:rPr>
                <w:bCs/>
                <w:i/>
                <w:iCs/>
                <w:highlight w:val="none"/>
              </w:rPr>
            </w:r>
          </w:p>
        </w:tc>
        <w:tc>
          <w:tcPr>
            <w:tcW w:w="959" w:type="dxa"/>
            <w:tcBorders>
              <w:top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  <w:vAlign w:val="center"/>
          </w:tcPr>
          <w:p>
            <w:pPr>
              <w:pStyle w:val="617"/>
              <w:jc w:val="center"/>
              <w:rPr>
                <w:bCs/>
                <w:highlight w:val="none"/>
              </w:rPr>
            </w:pPr>
            <w:r>
              <w:rPr>
                <w:bCs/>
              </w:rPr>
              <w:t xml:space="preserve">ИТОГО</w:t>
            </w:r>
            <w:r>
              <w:rPr>
                <w:bCs/>
                <w:highlight w:val="none"/>
              </w:rPr>
            </w:r>
          </w:p>
        </w:tc>
        <w:tc>
          <w:tcPr>
            <w:tcW w:w="1335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  <w:vAlign w:val="center"/>
          </w:tcPr>
          <w:p>
            <w:pPr>
              <w:pStyle w:val="617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1170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  <w:vAlign w:val="center"/>
          </w:tcPr>
          <w:p>
            <w:pPr>
              <w:pStyle w:val="617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1246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  <w:vAlign w:val="center"/>
          </w:tcPr>
          <w:p>
            <w:pPr>
              <w:pStyle w:val="617"/>
            </w:pPr>
          </w:p>
        </w:tc>
        <w:tc>
          <w:tcPr>
            <w:tcW w:w="1600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  <w:vAlign w:val="center"/>
          </w:tcPr>
          <w:p>
            <w:pPr>
              <w:pStyle w:val="617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1398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  <w:vAlign w:val="center"/>
          </w:tcPr>
          <w:p>
            <w:pPr>
              <w:pStyle w:val="617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rPr>
          <w:trHeight w:val="88"/>
        </w:trPr>
        <w:tblPrEx/>
        <w:tc>
          <w:tcPr>
            <w:tcW w:w="1184" w:type="dxa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rPr>
                <w:highlight w:val="none"/>
              </w:rPr>
            </w:pPr>
            <w:r>
              <w:t xml:space="preserve">Январь</w:t>
            </w:r>
            <w:r>
              <w:rPr>
                <w:highlight w:val="none"/>
              </w:rPr>
            </w:r>
          </w:p>
        </w:tc>
        <w:tc>
          <w:tcPr>
            <w:tcW w:w="885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582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814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840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960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916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95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335" w:type="dxa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170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246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600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398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</w:tr>
      <w:tr>
        <w:trPr>
          <w:trHeight w:val="60"/>
        </w:trPr>
        <w:tblPrEx/>
        <w:tc>
          <w:tcPr>
            <w:tcW w:w="1184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rPr>
                <w:highlight w:val="none"/>
              </w:rPr>
            </w:pPr>
            <w:r>
              <w:t xml:space="preserve">Февраль</w:t>
            </w:r>
            <w:r>
              <w:rPr>
                <w:highlight w:val="none"/>
              </w:rPr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5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8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9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95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3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2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398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</w:tr>
      <w:tr>
        <w:trPr>
          <w:trHeight w:val="60"/>
        </w:trPr>
        <w:tblPrEx/>
        <w:tc>
          <w:tcPr>
            <w:tcW w:w="1184" w:type="dxa"/>
            <w:tcBorders>
              <w:top w:val="single" w:color="000000" w:sz="6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rPr>
                <w:highlight w:val="none"/>
              </w:rPr>
            </w:pPr>
            <w:r>
              <w:t xml:space="preserve">Март</w:t>
            </w:r>
            <w:r>
              <w:rPr>
                <w:highlight w:val="none"/>
              </w:rPr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582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814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916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95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335" w:type="dxa"/>
            <w:tcBorders>
              <w:top w:val="single" w:color="000000" w:sz="6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246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600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398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</w:tr>
      <w:tr>
        <w:trPr>
          <w:trHeight w:val="50"/>
        </w:trPr>
        <w:tblPrEx/>
        <w:tc>
          <w:tcPr>
            <w:tcW w:w="118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rPr>
                <w:b/>
                <w:bCs/>
                <w:highlight w:val="none"/>
              </w:rPr>
            </w:pPr>
            <w:r>
              <w:rPr>
                <w:b/>
                <w:bCs/>
              </w:rPr>
              <w:t xml:space="preserve">1 квартал</w:t>
            </w:r>
            <w:r>
              <w:rPr>
                <w:b/>
                <w:bCs/>
                <w:highlight w:val="none"/>
              </w:rPr>
            </w:r>
          </w:p>
        </w:tc>
        <w:tc>
          <w:tcPr>
            <w:tcW w:w="885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582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814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840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960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916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95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133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1170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1246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600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1398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</w:tr>
      <w:tr>
        <w:trPr>
          <w:trHeight w:val="145"/>
        </w:trPr>
        <w:tblPrEx/>
        <w:tc>
          <w:tcPr>
            <w:tcW w:w="1184" w:type="dxa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rPr>
                <w:highlight w:val="none"/>
              </w:rPr>
            </w:pPr>
            <w:r>
              <w:t xml:space="preserve">Апрель</w:t>
            </w:r>
            <w:r>
              <w:rPr>
                <w:highlight w:val="none"/>
              </w:rPr>
            </w:r>
          </w:p>
        </w:tc>
        <w:tc>
          <w:tcPr>
            <w:tcW w:w="885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582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814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840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960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916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95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335" w:type="dxa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170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246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600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398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</w:tr>
      <w:tr>
        <w:trPr>
          <w:trHeight w:val="60"/>
        </w:trPr>
        <w:tblPrEx/>
        <w:tc>
          <w:tcPr>
            <w:tcW w:w="1184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rPr>
                <w:highlight w:val="none"/>
              </w:rPr>
            </w:pPr>
            <w:r>
              <w:t xml:space="preserve">Май</w:t>
            </w:r>
            <w:r>
              <w:rPr>
                <w:highlight w:val="none"/>
              </w:rPr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5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8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9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95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3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2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398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</w:tr>
      <w:tr>
        <w:trPr>
          <w:trHeight w:val="93"/>
        </w:trPr>
        <w:tblPrEx/>
        <w:tc>
          <w:tcPr>
            <w:tcW w:w="1184" w:type="dxa"/>
            <w:tcBorders>
              <w:top w:val="single" w:color="000000" w:sz="6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rPr>
                <w:highlight w:val="none"/>
              </w:rPr>
            </w:pPr>
            <w:r>
              <w:t xml:space="preserve">Июнь</w:t>
            </w:r>
            <w:r>
              <w:rPr>
                <w:highlight w:val="none"/>
              </w:rPr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582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814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916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95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335" w:type="dxa"/>
            <w:tcBorders>
              <w:top w:val="single" w:color="000000" w:sz="6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246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600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398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</w:tr>
      <w:tr>
        <w:trPr>
          <w:trHeight w:val="150"/>
        </w:trPr>
        <w:tblPrEx/>
        <w:tc>
          <w:tcPr>
            <w:tcW w:w="118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rPr>
                <w:b/>
                <w:bCs/>
                <w:highlight w:val="none"/>
              </w:rPr>
            </w:pPr>
            <w:r>
              <w:rPr>
                <w:b/>
                <w:bCs/>
              </w:rPr>
              <w:t xml:space="preserve">2 квартал</w:t>
            </w:r>
            <w:r>
              <w:rPr>
                <w:b/>
                <w:bCs/>
                <w:highlight w:val="none"/>
              </w:rPr>
            </w:r>
          </w:p>
        </w:tc>
        <w:tc>
          <w:tcPr>
            <w:tcW w:w="885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582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814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840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960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916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95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133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1170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1246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600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1398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</w:tr>
      <w:tr>
        <w:trPr>
          <w:trHeight w:val="50"/>
        </w:trPr>
        <w:tblPrEx/>
        <w:tc>
          <w:tcPr>
            <w:tcW w:w="1184" w:type="dxa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rPr>
                <w:highlight w:val="none"/>
              </w:rPr>
            </w:pPr>
            <w:r>
              <w:t xml:space="preserve">Июль</w:t>
            </w:r>
            <w:r>
              <w:rPr>
                <w:highlight w:val="none"/>
              </w:rPr>
            </w:r>
          </w:p>
        </w:tc>
        <w:tc>
          <w:tcPr>
            <w:tcW w:w="885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582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814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840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960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916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95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335" w:type="dxa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170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246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600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398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</w:tr>
      <w:tr>
        <w:trPr>
          <w:trHeight w:val="70"/>
        </w:trPr>
        <w:tblPrEx/>
        <w:tc>
          <w:tcPr>
            <w:tcW w:w="1184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rPr>
                <w:highlight w:val="none"/>
              </w:rPr>
            </w:pPr>
            <w:r>
              <w:t xml:space="preserve">Август</w:t>
            </w:r>
            <w:r>
              <w:rPr>
                <w:highlight w:val="none"/>
              </w:rPr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5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8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9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95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3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2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398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</w:tr>
      <w:tr>
        <w:trPr>
          <w:trHeight w:val="136"/>
        </w:trPr>
        <w:tblPrEx/>
        <w:tc>
          <w:tcPr>
            <w:tcW w:w="1184" w:type="dxa"/>
            <w:tcBorders>
              <w:top w:val="single" w:color="000000" w:sz="6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rPr>
                <w:highlight w:val="none"/>
              </w:rPr>
            </w:pPr>
            <w:r>
              <w:t xml:space="preserve">Сентябрь</w:t>
            </w:r>
            <w:r>
              <w:rPr>
                <w:highlight w:val="none"/>
              </w:rPr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582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814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916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95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335" w:type="dxa"/>
            <w:tcBorders>
              <w:top w:val="single" w:color="000000" w:sz="6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246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600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398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</w:tr>
      <w:tr>
        <w:trPr>
          <w:trHeight w:val="50"/>
        </w:trPr>
        <w:tblPrEx/>
        <w:tc>
          <w:tcPr>
            <w:tcW w:w="118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rPr>
                <w:b/>
                <w:bCs/>
                <w:highlight w:val="none"/>
              </w:rPr>
            </w:pPr>
            <w:r>
              <w:rPr>
                <w:b/>
                <w:bCs/>
              </w:rPr>
              <w:t xml:space="preserve">3 квартал</w:t>
            </w:r>
            <w:r>
              <w:rPr>
                <w:b/>
                <w:bCs/>
                <w:highlight w:val="none"/>
              </w:rPr>
            </w:r>
          </w:p>
        </w:tc>
        <w:tc>
          <w:tcPr>
            <w:tcW w:w="885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582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814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840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960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916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95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133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1170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1246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600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1398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</w:tr>
      <w:tr>
        <w:trPr>
          <w:trHeight w:val="64"/>
        </w:trPr>
        <w:tblPrEx/>
        <w:tc>
          <w:tcPr>
            <w:tcW w:w="1184" w:type="dxa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rPr>
                <w:highlight w:val="none"/>
              </w:rPr>
            </w:pPr>
            <w:r>
              <w:t xml:space="preserve">Октябрь</w:t>
            </w:r>
            <w:r>
              <w:rPr>
                <w:highlight w:val="none"/>
              </w:rPr>
            </w:r>
          </w:p>
        </w:tc>
        <w:tc>
          <w:tcPr>
            <w:tcW w:w="885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582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814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840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960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916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95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335" w:type="dxa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170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246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600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398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</w:tr>
      <w:tr>
        <w:trPr>
          <w:trHeight w:val="126"/>
        </w:trPr>
        <w:tblPrEx/>
        <w:tc>
          <w:tcPr>
            <w:tcW w:w="1184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rPr>
                <w:highlight w:val="none"/>
              </w:rPr>
            </w:pPr>
            <w:r>
              <w:t xml:space="preserve">Ноябрь</w:t>
            </w:r>
            <w:r>
              <w:rPr>
                <w:highlight w:val="none"/>
              </w:rPr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5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8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9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95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335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2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398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</w:tr>
      <w:tr>
        <w:trPr>
          <w:trHeight w:val="60"/>
        </w:trPr>
        <w:tblPrEx/>
        <w:tc>
          <w:tcPr>
            <w:tcW w:w="1184" w:type="dxa"/>
            <w:tcBorders>
              <w:top w:val="single" w:color="000000" w:sz="6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rPr>
                <w:highlight w:val="none"/>
              </w:rPr>
            </w:pPr>
            <w:r>
              <w:t xml:space="preserve">Декабрь</w:t>
            </w:r>
            <w:r>
              <w:rPr>
                <w:highlight w:val="none"/>
              </w:rPr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582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814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916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95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335" w:type="dxa"/>
            <w:tcBorders>
              <w:top w:val="single" w:color="000000" w:sz="6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246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600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398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</w:tr>
      <w:tr>
        <w:trPr>
          <w:trHeight w:val="68"/>
        </w:trPr>
        <w:tblPrEx/>
        <w:tc>
          <w:tcPr>
            <w:tcW w:w="118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rPr>
                <w:b/>
                <w:bCs/>
                <w:highlight w:val="none"/>
              </w:rPr>
            </w:pPr>
            <w:r>
              <w:rPr>
                <w:b/>
                <w:bCs/>
              </w:rPr>
              <w:t xml:space="preserve">4 квартал</w:t>
            </w:r>
            <w:r>
              <w:rPr>
                <w:b/>
                <w:bCs/>
                <w:highlight w:val="none"/>
              </w:rPr>
            </w:r>
          </w:p>
        </w:tc>
        <w:tc>
          <w:tcPr>
            <w:tcW w:w="885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582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814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840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960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916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95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133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1170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1246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600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1398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</w:tr>
      <w:tr>
        <w:trPr>
          <w:trHeight w:val="106"/>
        </w:trPr>
        <w:tblPrEx/>
        <w:tc>
          <w:tcPr>
            <w:tcW w:w="118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rPr>
                <w:b/>
                <w:bCs/>
                <w:highlight w:val="none"/>
              </w:rPr>
            </w:pPr>
            <w:r>
              <w:rPr>
                <w:b/>
                <w:bCs/>
              </w:rPr>
              <w:t xml:space="preserve">Итого</w:t>
            </w:r>
            <w:r>
              <w:rPr>
                <w:b/>
                <w:bCs/>
                <w:highlight w:val="none"/>
              </w:rPr>
            </w:r>
          </w:p>
        </w:tc>
        <w:tc>
          <w:tcPr>
            <w:tcW w:w="885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b/>
                <w:bCs/>
                <w:highlight w:val="none"/>
              </w:rPr>
            </w:pPr>
            <w:r>
              <w:rPr>
                <w:rFonts w:ascii="Arial CYR" w:hAnsi="Arial CYR" w:cs="Arial CYR"/>
                <w:b/>
                <w:bCs/>
              </w:rPr>
            </w:r>
            <w:r>
              <w:rPr>
                <w:rFonts w:ascii="Arial CYR" w:hAnsi="Arial CYR" w:cs="Arial CYR"/>
                <w:b/>
                <w:bCs/>
                <w:highlight w:val="none"/>
              </w:rPr>
            </w:r>
          </w:p>
        </w:tc>
        <w:tc>
          <w:tcPr>
            <w:tcW w:w="582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814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840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960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916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95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133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1170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noWrap w:val="false"/>
            <w:textDirection w:val="lrTb"/>
          </w:tcPr>
          <w:p>
            <w:pPr>
              <w:pStyle w:val="617"/>
              <w:jc w:val="center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1246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rPr>
                <w:rFonts w:ascii="Arial CYR" w:hAnsi="Arial CYR" w:cs="Arial CYR"/>
                <w:highlight w:val="none"/>
              </w:rPr>
            </w:pPr>
            <w:r>
              <w:rPr>
                <w:rFonts w:ascii="Arial CYR" w:hAnsi="Arial CYR" w:cs="Arial CYR"/>
              </w:rPr>
            </w:r>
            <w:r>
              <w:rPr>
                <w:rFonts w:ascii="Arial CYR" w:hAnsi="Arial CYR" w:cs="Arial CYR"/>
                <w:highlight w:val="none"/>
              </w:rPr>
            </w:r>
          </w:p>
        </w:tc>
        <w:tc>
          <w:tcPr>
            <w:tcW w:w="1600" w:type="dxa"/>
            <w:tcBorders>
              <w:top w:val="single" w:color="000000" w:sz="12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  <w:tc>
          <w:tcPr>
            <w:tcW w:w="1398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noWrap w:val="false"/>
            <w:textDirection w:val="lrTb"/>
          </w:tcPr>
          <w:p>
            <w:pPr>
              <w:pStyle w:val="617"/>
              <w:jc w:val="right"/>
              <w:rPr>
                <w:rFonts w:ascii="Arial CYR" w:hAnsi="Arial CYR" w:cs="Arial CYR"/>
                <w:bCs/>
                <w:highlight w:val="none"/>
              </w:rPr>
            </w:pPr>
            <w:r>
              <w:rPr>
                <w:rFonts w:ascii="Arial CYR" w:hAnsi="Arial CYR" w:cs="Arial CYR"/>
                <w:bCs/>
              </w:rPr>
            </w:r>
            <w:r>
              <w:rPr>
                <w:rFonts w:ascii="Arial CYR" w:hAnsi="Arial CYR" w:cs="Arial CYR"/>
                <w:bCs/>
                <w:highlight w:val="none"/>
              </w:rPr>
            </w:r>
          </w:p>
        </w:tc>
      </w:tr>
    </w:tbl>
    <w:p>
      <w:pPr>
        <w:pStyle w:val="617"/>
        <w:widowControl w:val="off"/>
        <w:spacing w:before="0" w:after="0"/>
        <w:jc w:val="left"/>
        <w:rPr>
          <w:bCs/>
          <w:i/>
          <w:sz w:val="22"/>
          <w:szCs w:val="22"/>
          <w:highlight w:val="none"/>
        </w:rPr>
      </w:pPr>
      <w:r>
        <w:rPr>
          <w:i/>
          <w:sz w:val="22"/>
          <w:szCs w:val="22"/>
        </w:rPr>
        <w:t xml:space="preserve">Тариф т/э</w:t>
        <w:tab/>
        <w:tab/>
        <w:tab/>
        <w:t xml:space="preserve">=</w:t>
        <w:tab/>
        <w:t xml:space="preserve">... руб/Гкал                                                   Тариф на теплоноситель  </w:t>
        <w:tab/>
        <w:t xml:space="preserve">=</w:t>
        <w:tab/>
        <w:t xml:space="preserve">... руб/м.куб</w:t>
      </w:r>
      <w:r>
        <w:rPr>
          <w:bCs/>
          <w:i/>
          <w:sz w:val="22"/>
          <w:szCs w:val="22"/>
          <w:highlight w:val="none"/>
        </w:rPr>
      </w:r>
    </w:p>
    <w:p>
      <w:pPr>
        <w:rPr>
          <w:bCs/>
          <w:i/>
          <w:sz w:val="22"/>
          <w:szCs w:val="22"/>
          <w:highlight w:val="none"/>
        </w:rPr>
      </w:pPr>
      <w:r>
        <w:rPr>
          <w:bCs/>
          <w:i/>
          <w:sz w:val="22"/>
          <w:szCs w:val="22"/>
          <w:highlight w:val="none"/>
        </w:rPr>
      </w:r>
      <w:r>
        <w:rPr>
          <w:bCs/>
          <w:i/>
          <w:sz w:val="22"/>
          <w:szCs w:val="22"/>
          <w:highlight w:val="none"/>
        </w:rPr>
      </w:r>
      <w:r>
        <w:rPr>
          <w:bCs/>
          <w:i/>
          <w:sz w:val="22"/>
          <w:szCs w:val="22"/>
          <w:highlight w:val="none"/>
        </w:rPr>
      </w:r>
    </w:p>
    <w:p>
      <w:pPr>
        <w:widowControl w:val="off"/>
        <w:spacing w:before="0" w:after="0"/>
        <w:jc w:val="left"/>
        <w:rPr>
          <w:bCs/>
          <w:i/>
          <w:sz w:val="22"/>
          <w:szCs w:val="22"/>
          <w:highlight w:val="none"/>
        </w:rPr>
      </w:pPr>
      <w:r>
        <w:rPr>
          <w:bCs/>
          <w:i/>
          <w:sz w:val="22"/>
          <w:szCs w:val="22"/>
          <w:highlight w:val="none"/>
        </w:rPr>
      </w:r>
      <w:r>
        <w:rPr>
          <w:bCs/>
          <w:i/>
          <w:sz w:val="22"/>
          <w:szCs w:val="22"/>
          <w:highlight w:val="none"/>
        </w:rPr>
      </w:r>
      <w:r>
        <w:rPr>
          <w:bCs/>
          <w:i/>
          <w:sz w:val="22"/>
          <w:szCs w:val="22"/>
          <w:highlight w:val="none"/>
        </w:rPr>
      </w:r>
    </w:p>
    <w:p>
      <w:pPr>
        <w:pStyle w:val="617"/>
        <w:widowControl w:val="off"/>
        <w:spacing w:before="0" w:after="0"/>
        <w:jc w:val="left"/>
        <w:rPr>
          <w:bCs/>
          <w:i/>
          <w:sz w:val="22"/>
          <w:szCs w:val="22"/>
          <w:highlight w:val="none"/>
        </w:rPr>
      </w:pPr>
      <w:r>
        <w:rPr>
          <w:bCs/>
          <w:i/>
          <w:sz w:val="22"/>
          <w:szCs w:val="22"/>
        </w:rPr>
      </w:r>
      <w:r>
        <w:rPr>
          <w:bCs/>
          <w:i/>
          <w:sz w:val="22"/>
          <w:szCs w:val="22"/>
          <w:highlight w:val="none"/>
        </w:rPr>
      </w:r>
    </w:p>
    <w:p>
      <w:pPr>
        <w:pStyle w:val="617"/>
        <w:widowControl w:val="off"/>
        <w:spacing w:before="0" w:after="0"/>
        <w:jc w:val="left"/>
        <w:rPr>
          <w:bCs/>
          <w:i/>
          <w:sz w:val="22"/>
          <w:szCs w:val="22"/>
          <w:highlight w:val="none"/>
        </w:rPr>
      </w:pPr>
      <w:r>
        <w:rPr>
          <w:bCs/>
          <w:i/>
          <w:sz w:val="22"/>
          <w:szCs w:val="22"/>
        </w:rPr>
      </w:r>
      <w:r>
        <w:rPr>
          <w:bCs/>
          <w:i/>
          <w:sz w:val="22"/>
          <w:szCs w:val="22"/>
          <w:highlight w:val="none"/>
        </w:rPr>
      </w:r>
    </w:p>
    <w:p>
      <w:pPr>
        <w:pStyle w:val="617"/>
        <w:widowControl w:val="off"/>
        <w:spacing w:before="0" w:after="0"/>
        <w:jc w:val="left"/>
        <w:rPr>
          <w:bCs/>
          <w:i/>
          <w:sz w:val="22"/>
          <w:szCs w:val="22"/>
          <w:highlight w:val="none"/>
        </w:rPr>
      </w:pPr>
      <w:r>
        <w:rPr>
          <w:bCs/>
          <w:i/>
          <w:sz w:val="22"/>
          <w:szCs w:val="22"/>
        </w:rPr>
      </w:r>
      <w:r>
        <w:rPr>
          <w:bCs/>
          <w:i/>
          <w:sz w:val="22"/>
          <w:szCs w:val="22"/>
          <w:highlight w:val="none"/>
        </w:rPr>
      </w:r>
    </w:p>
    <w:p>
      <w:pPr>
        <w:pStyle w:val="617"/>
        <w:widowControl w:val="off"/>
        <w:spacing w:before="0" w:after="0"/>
        <w:jc w:val="left"/>
        <w:rPr>
          <w:bCs/>
          <w:i/>
          <w:sz w:val="22"/>
          <w:szCs w:val="22"/>
          <w:highlight w:val="none"/>
        </w:rPr>
      </w:pPr>
      <w:r>
        <w:rPr>
          <w:bCs/>
          <w:i/>
          <w:sz w:val="22"/>
          <w:szCs w:val="22"/>
        </w:rPr>
      </w:r>
      <w:r>
        <w:rPr>
          <w:bCs/>
          <w:i/>
          <w:sz w:val="22"/>
          <w:szCs w:val="22"/>
          <w:highlight w:val="none"/>
        </w:rPr>
      </w:r>
    </w:p>
    <w:p>
      <w:pPr>
        <w:pStyle w:val="617"/>
        <w:widowControl w:val="off"/>
        <w:spacing w:before="0" w:after="0"/>
        <w:jc w:val="left"/>
        <w:rPr>
          <w:bCs/>
          <w:i/>
          <w:sz w:val="22"/>
          <w:szCs w:val="22"/>
          <w:highlight w:val="none"/>
        </w:rPr>
      </w:pPr>
      <w:r>
        <w:rPr>
          <w:bCs/>
          <w:i/>
          <w:sz w:val="22"/>
          <w:szCs w:val="22"/>
        </w:rPr>
      </w:r>
      <w:r>
        <w:rPr>
          <w:bCs/>
          <w:i/>
          <w:sz w:val="22"/>
          <w:szCs w:val="22"/>
          <w:highlight w:val="none"/>
        </w:rPr>
      </w:r>
    </w:p>
    <w:p>
      <w:pPr>
        <w:pStyle w:val="617"/>
        <w:widowControl w:val="off"/>
        <w:spacing w:before="0" w:after="0"/>
        <w:jc w:val="left"/>
        <w:rPr>
          <w:bCs/>
          <w:i/>
          <w:sz w:val="22"/>
          <w:szCs w:val="22"/>
          <w:highlight w:val="none"/>
        </w:rPr>
      </w:pPr>
      <w:r>
        <w:rPr>
          <w:bCs/>
          <w:i/>
          <w:sz w:val="22"/>
          <w:szCs w:val="22"/>
        </w:rPr>
      </w:r>
      <w:r>
        <w:rPr>
          <w:bCs/>
          <w:i/>
          <w:sz w:val="22"/>
          <w:szCs w:val="22"/>
          <w:highlight w:val="none"/>
        </w:rPr>
      </w:r>
    </w:p>
    <w:p>
      <w:pPr>
        <w:pStyle w:val="617"/>
        <w:widowControl w:val="off"/>
        <w:spacing w:before="0" w:after="0"/>
        <w:jc w:val="left"/>
        <w:rPr>
          <w:bCs/>
          <w:i/>
          <w:sz w:val="22"/>
          <w:szCs w:val="22"/>
          <w:highlight w:val="none"/>
        </w:rPr>
      </w:pPr>
      <w:r>
        <w:rPr>
          <w:bCs/>
          <w:i/>
          <w:sz w:val="22"/>
          <w:szCs w:val="22"/>
        </w:rPr>
      </w:r>
      <w:r>
        <w:rPr>
          <w:bCs/>
          <w:i/>
          <w:sz w:val="22"/>
          <w:szCs w:val="22"/>
          <w:highlight w:val="none"/>
        </w:rPr>
      </w:r>
    </w:p>
    <w:p>
      <w:pPr>
        <w:pStyle w:val="617"/>
        <w:rPr>
          <w:b/>
          <w:sz w:val="8"/>
          <w:szCs w:val="8"/>
          <w:highlight w:val="none"/>
        </w:rPr>
      </w:pPr>
      <w:r>
        <w:rPr>
          <w:b/>
          <w:sz w:val="8"/>
          <w:szCs w:val="8"/>
        </w:rPr>
        <w:t xml:space="preserve"> </w:t>
      </w:r>
      <w:r>
        <w:rPr>
          <w:b/>
          <w:sz w:val="8"/>
          <w:szCs w:val="8"/>
          <w:highlight w:val="none"/>
        </w:rPr>
      </w:r>
    </w:p>
    <w:p>
      <w:pPr>
        <w:pStyle w:val="617"/>
        <w:rPr>
          <w:sz w:val="8"/>
          <w:szCs w:val="8"/>
          <w:highlight w:val="none"/>
        </w:rPr>
      </w:pPr>
      <w:r>
        <w:rPr>
          <w:sz w:val="8"/>
          <w:szCs w:val="8"/>
        </w:rPr>
      </w:r>
      <w:r>
        <w:rPr>
          <w:sz w:val="8"/>
          <w:szCs w:val="8"/>
          <w:highlight w:val="none"/>
        </w:rPr>
      </w:r>
    </w:p>
    <w:p>
      <w:pPr>
        <w:pStyle w:val="617"/>
        <w:rPr>
          <w:sz w:val="8"/>
          <w:szCs w:val="8"/>
          <w:highlight w:val="none"/>
        </w:rPr>
      </w:pPr>
      <w:r>
        <w:rPr>
          <w:sz w:val="8"/>
          <w:szCs w:val="8"/>
        </w:rPr>
        <w:t xml:space="preserve"> </w:t>
      </w:r>
      <w:r>
        <w:rPr>
          <w:sz w:val="8"/>
          <w:szCs w:val="8"/>
          <w:highlight w:val="none"/>
        </w:rPr>
      </w:r>
    </w:p>
    <w:p>
      <w:pPr>
        <w:pStyle w:val="617"/>
        <w:rPr>
          <w:highlight w:val="none"/>
        </w:rPr>
      </w:pPr>
      <w:r>
        <w:rPr>
          <w:highlight w:val="none"/>
        </w:rPr>
      </w:r>
    </w:p>
    <w:tbl>
      <w:tblPr>
        <w:tblW w:w="13920" w:type="dxa"/>
        <w:tblInd w:w="18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294"/>
        <w:gridCol w:w="5625"/>
      </w:tblGrid>
      <w:tr>
        <w:trPr>
          <w:trHeight w:val="330"/>
        </w:trPr>
        <w:tblPrEx/>
        <w:tc>
          <w:tcPr>
            <w:tcW w:w="8294" w:type="dxa"/>
            <w:tcBorders>
              <w:top w:val="single" w:color="000000" w:sz="4" w:space="0"/>
            </w:tcBorders>
            <w:noWrap w:val="false"/>
            <w:textDirection w:val="lrTb"/>
          </w:tcPr>
          <w:p>
            <w:pPr>
              <w:pStyle w:val="617"/>
              <w:rPr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  <w:t xml:space="preserve">Теплоснабжающая организация</w:t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617"/>
              <w:rPr>
                <w:highlight w:val="none"/>
                <w:shd w:val="clear" w:color="auto" w:fill="auto"/>
              </w:rPr>
            </w:pPr>
            <w:r>
              <w:rPr>
                <w:sz w:val="26"/>
                <w:szCs w:val="26"/>
                <w:shd w:val="clear" w:color="auto" w:fill="auto"/>
              </w:rPr>
              <w:t xml:space="preserve">_____________________ /ФИО/</w:t>
            </w:r>
            <w:r>
              <w:rPr>
                <w:highlight w:val="none"/>
                <w:shd w:val="clear" w:color="auto" w:fill="auto"/>
              </w:rPr>
            </w:r>
          </w:p>
        </w:tc>
        <w:tc>
          <w:tcPr>
            <w:tcW w:w="5625" w:type="dxa"/>
            <w:tcBorders>
              <w:top w:val="single" w:color="000000" w:sz="4" w:space="0"/>
            </w:tcBorders>
            <w:noWrap w:val="false"/>
            <w:textDirection w:val="lrTb"/>
          </w:tcPr>
          <w:p>
            <w:pPr>
              <w:pStyle w:val="617"/>
              <w:rPr>
                <w:highlight w:val="none"/>
                <w:shd w:val="clear" w:color="auto" w:fill="auto"/>
              </w:rPr>
            </w:pPr>
            <w:r>
              <w:rPr>
                <w:bCs/>
                <w:sz w:val="26"/>
                <w:szCs w:val="26"/>
                <w:shd w:val="clear" w:color="auto" w:fill="auto"/>
              </w:rPr>
              <w:t xml:space="preserve">Потребитель</w:t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617"/>
              <w:rPr>
                <w:highlight w:val="none"/>
                <w:shd w:val="clear" w:color="auto" w:fill="auto"/>
              </w:rPr>
            </w:pPr>
            <w:r>
              <w:rPr>
                <w:sz w:val="26"/>
                <w:szCs w:val="26"/>
                <w:shd w:val="clear" w:color="auto" w:fill="auto"/>
              </w:rPr>
              <w:t xml:space="preserve">_____________________ /ФИО/</w:t>
            </w:r>
            <w:r>
              <w:rPr>
                <w:highlight w:val="none"/>
                <w:shd w:val="clear" w:color="auto" w:fill="auto"/>
              </w:rPr>
            </w:r>
          </w:p>
          <w:p>
            <w:pPr>
              <w:pStyle w:val="617"/>
              <w:rPr>
                <w:sz w:val="12"/>
                <w:szCs w:val="12"/>
              </w:rPr>
            </w:pPr>
            <w:r>
              <w:rPr>
                <w:sz w:val="12"/>
                <w:szCs w:val="12"/>
                <w:shd w:val="clear" w:color="auto" w:fill="auto"/>
              </w:rPr>
              <w:t xml:space="preserve">М.П.</w:t>
            </w:r>
            <w:r>
              <w:rPr>
                <w:sz w:val="12"/>
                <w:szCs w:val="12"/>
              </w:rPr>
            </w:r>
          </w:p>
        </w:tc>
      </w:tr>
    </w:tbl>
    <w:p>
      <w:pPr>
        <w:pStyle w:val="617"/>
      </w:pPr>
    </w:p>
    <w:sectPr>
      <w:footnotePr/>
      <w:endnotePr/>
      <w:type w:val="nextPage"/>
      <w:pgSz w:w="16838" w:h="11906" w:orient="landscape"/>
      <w:pgMar w:top="720" w:right="1134" w:bottom="851" w:left="1134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CYR">
    <w:panose1 w:val="020B0604020202020204"/>
  </w:font>
  <w:font w:name="Tahoma">
    <w:panose1 w:val="020B0606030504020204"/>
  </w:font>
  <w:font w:name="Open Sans">
    <w:panose1 w:val="020B0606030504020204"/>
  </w:font>
  <w:font w:name="Arial">
    <w:panose1 w:val="020B0604020202020204"/>
  </w:font>
  <w:font w:name="Courier New">
    <w:panose1 w:val="02070409020205020404"/>
  </w:font>
  <w:font w:name="Lohit Devanagari">
    <w:panose1 w:val="020B0600000000000000"/>
  </w:font>
  <w:font w:name="Droid Sans Fallback">
    <w:panose1 w:val="020B0502000000000001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Droid Sans Fallback" w:cs="Lohit Devanagari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text1" w:themeTint="80" w:sz="4" w:space="0"/>
        </w:tcBorders>
        <w:shd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/>
          <w:left w:val="none"/>
          <w:bottom w:val="single" w:color="000000" w:themeColor="tex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single" w:color="000000" w:themeColor="tex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1" w:themeTint="80" w:sz="4" w:space="0"/>
        </w:tcBorders>
        <w:shd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/>
          <w:left w:val="none"/>
          <w:bottom w:val="single" w:color="000000" w:themeColor="accen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/>
          <w:left w:val="single" w:color="000000" w:themeColor="accen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2" w:themeTint="97" w:sz="4" w:space="0"/>
        </w:tcBorders>
        <w:shd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/>
          <w:left w:val="none"/>
          <w:bottom w:val="single" w:color="000000" w:themeColor="accent2" w:themeTint="97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/>
          <w:left w:val="single" w:color="000000" w:themeColor="accent2" w:themeTint="97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3" w:themeTint="FE" w:sz="4" w:space="0"/>
        </w:tcBorders>
        <w:shd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/>
          <w:left w:val="none"/>
          <w:bottom w:val="single" w:color="000000" w:themeColor="accent3" w:themeTint="FE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/>
          <w:left w:val="single" w:color="000000" w:themeColor="accent3" w:themeTint="FE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4" w:themeTint="9A" w:sz="4" w:space="0"/>
        </w:tcBorders>
        <w:shd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/>
          <w:left w:val="none"/>
          <w:bottom w:val="single" w:color="000000" w:themeColor="accent4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/>
          <w:left w:val="single" w:color="000000" w:themeColor="accent4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5" w:themeTint="90" w:sz="4" w:space="0"/>
        </w:tcBorders>
        <w:shd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/>
          <w:left w:val="none"/>
          <w:bottom w:val="single" w:color="000000" w:themeColor="accent5" w:themeTint="9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/>
          <w:left w:val="single" w:color="000000" w:themeColor="accent5" w:themeTint="9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6" w:themeTint="90" w:sz="4" w:space="0"/>
        </w:tcBorders>
        <w:shd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/>
          <w:left w:val="none"/>
          <w:bottom w:val="single" w:color="000000" w:themeColor="accent6" w:themeTint="9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/>
          <w:left w:val="single" w:color="000000" w:themeColor="accent6" w:themeTint="9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text1" w:themeTint="80" w:sz="4" w:space="0"/>
        </w:tcBorders>
        <w:shd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none"/>
          <w:bottom w:val="single" w:color="000000" w:themeColor="tex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single" w:color="000000" w:themeColor="tex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2" w:themeTint="97" w:sz="4" w:space="0"/>
        </w:tcBorders>
        <w:shd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/>
          <w:left w:val="none"/>
          <w:bottom w:val="single" w:color="000000" w:themeColor="accent2" w:themeTint="97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/>
          <w:left w:val="single" w:color="000000" w:themeColor="accent2" w:themeTint="97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3" w:themeTint="98" w:sz="4" w:space="0"/>
        </w:tcBorders>
        <w:shd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/>
          <w:left w:val="none"/>
          <w:bottom w:val="single" w:color="000000" w:themeColor="accent3" w:themeTint="98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/>
          <w:left w:val="single" w:color="000000" w:themeColor="accent3" w:themeTint="98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4" w:themeTint="9A" w:sz="4" w:space="0"/>
        </w:tcBorders>
        <w:shd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/>
          <w:left w:val="none"/>
          <w:bottom w:val="single" w:color="000000" w:themeColor="accent4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/>
          <w:left w:val="single" w:color="000000" w:themeColor="accent4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5" w:themeTint="9A" w:sz="4" w:space="0"/>
        </w:tcBorders>
        <w:shd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/>
          <w:left w:val="none"/>
          <w:bottom w:val="single" w:color="000000" w:themeColor="accent5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/>
          <w:left w:val="single" w:color="000000" w:themeColor="accent5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6" w:themeTint="98" w:sz="4" w:space="0"/>
        </w:tcBorders>
        <w:shd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/>
          <w:left w:val="none"/>
          <w:bottom w:val="single" w:color="000000" w:themeColor="accent6" w:themeTint="98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/>
          <w:left w:val="single" w:color="000000" w:themeColor="accent6" w:themeTint="98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617" w:default="1">
    <w:name w:val="Normal"/>
    <w:qFormat/>
    <w:pPr>
      <w:widowControl w:val="off"/>
      <w:spacing w:before="0" w:after="0"/>
      <w:jc w:val="left"/>
    </w:pPr>
    <w:rPr>
      <w:rFonts w:ascii="Times New Roman" w:hAnsi="Times New Roman" w:eastAsia="Droid Sans Fallback" w:cs="Lohit Devanagari"/>
      <w:color w:val="auto"/>
      <w:sz w:val="20"/>
      <w:szCs w:val="20"/>
      <w:lang w:val="ru-RU" w:eastAsia="ru-RU" w:bidi="ar-SA"/>
    </w:rPr>
  </w:style>
  <w:style w:type="paragraph" w:styleId="618">
    <w:name w:val="Heading 1"/>
    <w:basedOn w:val="617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619">
    <w:name w:val="Heading 2"/>
    <w:basedOn w:val="617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20">
    <w:name w:val="Heading 3"/>
    <w:basedOn w:val="617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21">
    <w:name w:val="Heading 4"/>
    <w:basedOn w:val="617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22">
    <w:name w:val="Heading 5"/>
    <w:basedOn w:val="617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23">
    <w:name w:val="Heading 6"/>
    <w:basedOn w:val="617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24">
    <w:name w:val="Heading 7"/>
    <w:basedOn w:val="617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25">
    <w:name w:val="Heading 8"/>
    <w:basedOn w:val="617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26">
    <w:name w:val="Heading 9"/>
    <w:basedOn w:val="617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27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628">
    <w:name w:val="Heading 2 Char"/>
    <w:uiPriority w:val="9"/>
    <w:qFormat/>
    <w:rPr>
      <w:rFonts w:ascii="Arial" w:hAnsi="Arial" w:eastAsia="Arial" w:cs="Arial"/>
      <w:sz w:val="34"/>
    </w:rPr>
  </w:style>
  <w:style w:type="character" w:styleId="629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630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31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32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33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34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35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36">
    <w:name w:val="Title Char"/>
    <w:uiPriority w:val="10"/>
    <w:qFormat/>
    <w:rPr>
      <w:sz w:val="48"/>
      <w:szCs w:val="48"/>
    </w:rPr>
  </w:style>
  <w:style w:type="character" w:styleId="637">
    <w:name w:val="Subtitle Char"/>
    <w:uiPriority w:val="11"/>
    <w:qFormat/>
    <w:rPr>
      <w:sz w:val="24"/>
      <w:szCs w:val="24"/>
    </w:rPr>
  </w:style>
  <w:style w:type="character" w:styleId="638">
    <w:name w:val="Quote Char"/>
    <w:uiPriority w:val="29"/>
    <w:qFormat/>
    <w:rPr>
      <w:i/>
    </w:rPr>
  </w:style>
  <w:style w:type="character" w:styleId="639">
    <w:name w:val="Intense Quote Char"/>
    <w:uiPriority w:val="30"/>
    <w:qFormat/>
    <w:rPr>
      <w:i/>
    </w:rPr>
  </w:style>
  <w:style w:type="character" w:styleId="640">
    <w:name w:val="Header Char"/>
    <w:uiPriority w:val="99"/>
    <w:qFormat/>
  </w:style>
  <w:style w:type="character" w:styleId="641">
    <w:name w:val="Footer Char"/>
    <w:uiPriority w:val="99"/>
    <w:qFormat/>
  </w:style>
  <w:style w:type="character" w:styleId="642">
    <w:name w:val="Caption Char"/>
    <w:uiPriority w:val="99"/>
    <w:qFormat/>
  </w:style>
  <w:style w:type="character" w:styleId="643">
    <w:name w:val="Hyperlink"/>
    <w:uiPriority w:val="99"/>
    <w:unhideWhenUsed/>
    <w:rPr>
      <w:color w:val="0000ff" w:themeColor="hyperlink"/>
      <w:u w:val="single"/>
    </w:rPr>
  </w:style>
  <w:style w:type="character" w:styleId="644">
    <w:name w:val="Footnote Text Char"/>
    <w:uiPriority w:val="99"/>
    <w:qFormat/>
    <w:rPr>
      <w:sz w:val="18"/>
    </w:rPr>
  </w:style>
  <w:style w:type="character" w:styleId="645">
    <w:name w:val="Символ сноски"/>
    <w:uiPriority w:val="99"/>
    <w:unhideWhenUsed/>
    <w:qFormat/>
    <w:rPr>
      <w:vertAlign w:val="superscript"/>
    </w:rPr>
  </w:style>
  <w:style w:type="character" w:styleId="646">
    <w:name w:val="footnote reference"/>
    <w:rPr>
      <w:vertAlign w:val="superscript"/>
    </w:rPr>
  </w:style>
  <w:style w:type="character" w:styleId="647">
    <w:name w:val="Endnote Text Char"/>
    <w:uiPriority w:val="99"/>
    <w:qFormat/>
    <w:rPr>
      <w:sz w:val="20"/>
    </w:rPr>
  </w:style>
  <w:style w:type="character" w:styleId="648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649">
    <w:name w:val="endnote reference"/>
    <w:rPr>
      <w:vertAlign w:val="superscript"/>
    </w:rPr>
  </w:style>
  <w:style w:type="character" w:styleId="650">
    <w:name w:val="Основной шрифт абзаца"/>
    <w:semiHidden/>
    <w:qFormat/>
  </w:style>
  <w:style w:type="character" w:styleId="651">
    <w:name w:val="Текст Знак"/>
    <w:qFormat/>
    <w:rPr>
      <w:rFonts w:ascii="Courier New" w:hAnsi="Courier New" w:cs="Courier New"/>
    </w:rPr>
  </w:style>
  <w:style w:type="character" w:styleId="652" w:default="1">
    <w:name w:val="Default Paragraph Font"/>
    <w:uiPriority w:val="1"/>
    <w:semiHidden/>
    <w:unhideWhenUsed/>
    <w:qFormat/>
  </w:style>
  <w:style w:type="character" w:styleId="653">
    <w:name w:val="Line Number"/>
  </w:style>
  <w:style w:type="paragraph" w:styleId="654">
    <w:name w:val="Заголовок"/>
    <w:basedOn w:val="617"/>
    <w:next w:val="655"/>
    <w:qFormat/>
    <w:pPr>
      <w:keepNext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655">
    <w:name w:val="Body Text"/>
    <w:basedOn w:val="617"/>
    <w:pPr>
      <w:widowControl/>
    </w:pPr>
    <w:rPr>
      <w:sz w:val="22"/>
      <w:szCs w:val="22"/>
    </w:rPr>
  </w:style>
  <w:style w:type="paragraph" w:styleId="656">
    <w:name w:val="List"/>
    <w:basedOn w:val="655"/>
    <w:rPr>
      <w:rFonts w:cs="Lohit Devanagari"/>
    </w:rPr>
  </w:style>
  <w:style w:type="paragraph" w:styleId="657">
    <w:name w:val="Caption"/>
    <w:basedOn w:val="617"/>
    <w:qFormat/>
    <w:pPr>
      <w:widowControl/>
      <w:jc w:val="center"/>
    </w:pPr>
    <w:rPr>
      <w:b/>
      <w:bCs/>
      <w:sz w:val="22"/>
      <w:szCs w:val="22"/>
    </w:rPr>
  </w:style>
  <w:style w:type="paragraph" w:styleId="658">
    <w:name w:val="Указатель"/>
    <w:basedOn w:val="617"/>
    <w:qFormat/>
    <w:pPr>
      <w:suppressLineNumbers/>
    </w:pPr>
    <w:rPr>
      <w:rFonts w:cs="Lohit Devanagari"/>
    </w:rPr>
  </w:style>
  <w:style w:type="paragraph" w:styleId="659">
    <w:name w:val="List Paragraph"/>
    <w:basedOn w:val="617"/>
    <w:uiPriority w:val="34"/>
    <w:qFormat/>
    <w:pPr>
      <w:spacing w:before="0" w:after="0"/>
      <w:ind w:left="720"/>
      <w:contextualSpacing/>
    </w:pPr>
  </w:style>
  <w:style w:type="paragraph" w:styleId="660">
    <w:name w:val="No Spacing"/>
    <w:uiPriority w:val="1"/>
    <w:qFormat/>
    <w:pPr>
      <w:widowControl/>
      <w:spacing w:before="0" w:after="0" w:line="240" w:lineRule="auto"/>
      <w:jc w:val="left"/>
    </w:pPr>
    <w:rPr>
      <w:rFonts w:ascii="Times New Roman" w:hAnsi="Times New Roman" w:eastAsia="Droid Sans Fallback" w:cs="Lohit Devanagari"/>
      <w:color w:val="auto"/>
      <w:sz w:val="20"/>
      <w:szCs w:val="20"/>
      <w:lang w:val="ru-RU" w:eastAsia="zh-CN" w:bidi="ar-SA"/>
    </w:rPr>
  </w:style>
  <w:style w:type="paragraph" w:styleId="661">
    <w:name w:val="Title"/>
    <w:basedOn w:val="617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662">
    <w:name w:val="Subtitle"/>
    <w:basedOn w:val="617"/>
    <w:uiPriority w:val="11"/>
    <w:qFormat/>
    <w:pPr>
      <w:spacing w:before="200" w:after="200"/>
    </w:pPr>
    <w:rPr>
      <w:sz w:val="24"/>
      <w:szCs w:val="24"/>
    </w:rPr>
  </w:style>
  <w:style w:type="paragraph" w:styleId="663">
    <w:name w:val="Quote"/>
    <w:basedOn w:val="617"/>
    <w:uiPriority w:val="29"/>
    <w:qFormat/>
    <w:pPr>
      <w:ind w:left="720" w:right="720"/>
    </w:pPr>
    <w:rPr>
      <w:i/>
    </w:rPr>
  </w:style>
  <w:style w:type="paragraph" w:styleId="664">
    <w:name w:val="Intense Quote"/>
    <w:basedOn w:val="617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 w:before="0" w:after="0"/>
      <w:ind w:left="720" w:right="720"/>
    </w:pPr>
    <w:rPr>
      <w:i/>
    </w:rPr>
  </w:style>
  <w:style w:type="paragraph" w:styleId="665">
    <w:name w:val="Колонтитул"/>
    <w:basedOn w:val="617"/>
    <w:qFormat/>
  </w:style>
  <w:style w:type="paragraph" w:styleId="666">
    <w:name w:val="Header"/>
    <w:basedOn w:val="617"/>
    <w:uiPriority w:val="99"/>
    <w:unhideWhenUsed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667">
    <w:name w:val="Footer"/>
    <w:basedOn w:val="617"/>
    <w:uiPriority w:val="99"/>
    <w:unhideWhenUsed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668">
    <w:name w:val="footnote text"/>
    <w:basedOn w:val="617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669">
    <w:name w:val="endnote text"/>
    <w:basedOn w:val="617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670">
    <w:name w:val="toc 1"/>
    <w:basedOn w:val="617"/>
    <w:uiPriority w:val="39"/>
    <w:unhideWhenUsed/>
    <w:pPr>
      <w:spacing w:before="0" w:after="57"/>
      <w:ind w:left="0" w:right="0" w:firstLine="0"/>
    </w:pPr>
  </w:style>
  <w:style w:type="paragraph" w:styleId="671">
    <w:name w:val="toc 2"/>
    <w:basedOn w:val="617"/>
    <w:uiPriority w:val="39"/>
    <w:unhideWhenUsed/>
    <w:pPr>
      <w:spacing w:before="0" w:after="57"/>
      <w:ind w:left="283" w:right="0" w:firstLine="0"/>
    </w:pPr>
  </w:style>
  <w:style w:type="paragraph" w:styleId="672">
    <w:name w:val="toc 3"/>
    <w:basedOn w:val="617"/>
    <w:uiPriority w:val="39"/>
    <w:unhideWhenUsed/>
    <w:pPr>
      <w:spacing w:before="0" w:after="57"/>
      <w:ind w:left="567" w:right="0" w:firstLine="0"/>
    </w:pPr>
  </w:style>
  <w:style w:type="paragraph" w:styleId="673">
    <w:name w:val="toc 4"/>
    <w:basedOn w:val="617"/>
    <w:uiPriority w:val="39"/>
    <w:unhideWhenUsed/>
    <w:pPr>
      <w:spacing w:before="0" w:after="57"/>
      <w:ind w:left="850" w:right="0" w:firstLine="0"/>
    </w:pPr>
  </w:style>
  <w:style w:type="paragraph" w:styleId="674">
    <w:name w:val="toc 5"/>
    <w:basedOn w:val="617"/>
    <w:uiPriority w:val="39"/>
    <w:unhideWhenUsed/>
    <w:pPr>
      <w:spacing w:before="0" w:after="57"/>
      <w:ind w:left="1134" w:right="0" w:firstLine="0"/>
    </w:pPr>
  </w:style>
  <w:style w:type="paragraph" w:styleId="675">
    <w:name w:val="toc 6"/>
    <w:basedOn w:val="617"/>
    <w:uiPriority w:val="39"/>
    <w:unhideWhenUsed/>
    <w:pPr>
      <w:spacing w:before="0" w:after="57"/>
      <w:ind w:left="1417" w:right="0" w:firstLine="0"/>
    </w:pPr>
  </w:style>
  <w:style w:type="paragraph" w:styleId="676">
    <w:name w:val="toc 7"/>
    <w:basedOn w:val="617"/>
    <w:uiPriority w:val="39"/>
    <w:unhideWhenUsed/>
    <w:pPr>
      <w:spacing w:before="0" w:after="57"/>
      <w:ind w:left="1701" w:right="0" w:firstLine="0"/>
    </w:pPr>
  </w:style>
  <w:style w:type="paragraph" w:styleId="677">
    <w:name w:val="toc 8"/>
    <w:basedOn w:val="617"/>
    <w:uiPriority w:val="39"/>
    <w:unhideWhenUsed/>
    <w:pPr>
      <w:spacing w:before="0" w:after="57"/>
      <w:ind w:left="1984" w:right="0" w:firstLine="0"/>
    </w:pPr>
  </w:style>
  <w:style w:type="paragraph" w:styleId="678">
    <w:name w:val="toc 9"/>
    <w:basedOn w:val="617"/>
    <w:uiPriority w:val="39"/>
    <w:unhideWhenUsed/>
    <w:pPr>
      <w:spacing w:before="0" w:after="57"/>
      <w:ind w:left="2268" w:right="0" w:firstLine="0"/>
    </w:pPr>
  </w:style>
  <w:style w:type="paragraph" w:styleId="679">
    <w:name w:val="Index Heading"/>
    <w:basedOn w:val="654"/>
  </w:style>
  <w:style w:type="paragraph" w:styleId="680">
    <w:name w:val="TOC Heading"/>
    <w:uiPriority w:val="39"/>
    <w:unhideWhenUsed/>
    <w:qFormat/>
    <w:pPr>
      <w:widowControl/>
      <w:spacing w:before="0" w:after="0"/>
      <w:jc w:val="left"/>
    </w:pPr>
    <w:rPr>
      <w:rFonts w:ascii="Times New Roman" w:hAnsi="Times New Roman" w:eastAsia="Droid Sans Fallback" w:cs="Lohit Devanagari"/>
      <w:color w:val="auto"/>
      <w:sz w:val="20"/>
      <w:szCs w:val="20"/>
      <w:lang w:val="ru-RU" w:eastAsia="zh-CN" w:bidi="ar-SA"/>
    </w:rPr>
  </w:style>
  <w:style w:type="paragraph" w:styleId="681">
    <w:name w:val="table of figures"/>
    <w:basedOn w:val="617"/>
    <w:uiPriority w:val="99"/>
    <w:unhideWhenUsed/>
    <w:pPr>
      <w:spacing w:before="0" w:after="0" w:afterAutospacing="0"/>
    </w:pPr>
  </w:style>
  <w:style w:type="paragraph" w:styleId="682">
    <w:name w:val="Текст выноски"/>
    <w:basedOn w:val="617"/>
    <w:semiHidden/>
    <w:qFormat/>
    <w:rPr>
      <w:rFonts w:ascii="Tahoma" w:hAnsi="Tahoma" w:cs="Tahoma"/>
      <w:sz w:val="16"/>
      <w:szCs w:val="16"/>
    </w:rPr>
  </w:style>
  <w:style w:type="paragraph" w:styleId="683">
    <w:name w:val="Текст"/>
    <w:basedOn w:val="617"/>
    <w:qFormat/>
    <w:pPr>
      <w:widowControl/>
    </w:pPr>
    <w:rPr>
      <w:rFonts w:ascii="Courier New" w:hAnsi="Courier New" w:cs="Courier New"/>
    </w:rPr>
  </w:style>
  <w:style w:type="paragraph" w:styleId="684">
    <w:name w:val="Содержимое врезки"/>
    <w:basedOn w:val="617"/>
    <w:qFormat/>
  </w:style>
  <w:style w:type="paragraph" w:styleId="685">
    <w:name w:val="Содержимое таблицы"/>
    <w:basedOn w:val="617"/>
    <w:qFormat/>
    <w:pPr>
      <w:widowControl w:val="off"/>
      <w:suppressLineNumbers/>
    </w:pPr>
  </w:style>
  <w:style w:type="paragraph" w:styleId="686">
    <w:name w:val="Заголовок таблицы"/>
    <w:basedOn w:val="685"/>
    <w:qFormat/>
    <w:pPr>
      <w:suppressLineNumbers/>
      <w:jc w:val="center"/>
    </w:pPr>
    <w:rPr>
      <w:b/>
      <w:bCs/>
    </w:rPr>
  </w:style>
  <w:style w:type="numbering" w:styleId="687">
    <w:name w:val="Нет списка"/>
    <w:semiHidden/>
    <w:qFormat/>
  </w:style>
  <w:style w:type="numbering" w:styleId="688" w:default="1">
    <w:name w:val="No List"/>
    <w:uiPriority w:val="99"/>
    <w:semiHidden/>
    <w:unhideWhenUsed/>
    <w:qFormat/>
  </w:style>
  <w:style w:type="table" w:styleId="343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>ОГК-2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subject/>
  <dc:creator>gayfutdinovrr</dc:creator>
  <dc:description/>
  <dc:language>ru-RU</dc:language>
  <cp:revision>15</cp:revision>
  <dcterms:created xsi:type="dcterms:W3CDTF">2021-07-21T08:36:00Z</dcterms:created>
  <dcterms:modified xsi:type="dcterms:W3CDTF">2025-09-15T13:14:03Z</dcterms:modified>
  <cp:version>983040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